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5B7" w:rsidRPr="008B75B7" w:rsidRDefault="008B75B7" w:rsidP="008B75B7">
      <w:pPr>
        <w:keepNext/>
        <w:keepLines/>
        <w:numPr>
          <w:ilvl w:val="1"/>
          <w:numId w:val="0"/>
        </w:numPr>
        <w:spacing w:before="200" w:after="0" w:line="276" w:lineRule="auto"/>
        <w:ind w:left="1425" w:hanging="432"/>
        <w:outlineLvl w:val="1"/>
        <w:rPr>
          <w:rFonts w:ascii="Calibri" w:eastAsia="Times New Roman" w:hAnsi="Calibri" w:cs="Calibri"/>
          <w:b/>
          <w:sz w:val="24"/>
          <w:szCs w:val="24"/>
          <w:lang w:eastAsia="es-CL"/>
        </w:rPr>
      </w:pPr>
      <w:bookmarkStart w:id="0" w:name="_Toc55837267"/>
      <w:bookmarkStart w:id="1" w:name="_GoBack"/>
      <w:bookmarkEnd w:id="1"/>
      <w:r w:rsidRPr="008B75B7">
        <w:rPr>
          <w:rFonts w:ascii="Calibri" w:eastAsia="Times New Roman" w:hAnsi="Calibri" w:cs="Calibri"/>
          <w:b/>
          <w:sz w:val="24"/>
          <w:szCs w:val="24"/>
          <w:lang w:eastAsia="es-CL"/>
        </w:rPr>
        <w:t>Anexo N°12:  Requisitos para la prestación de Servicios de Construcción.</w:t>
      </w:r>
      <w:bookmarkEnd w:id="0"/>
    </w:p>
    <w:p w:rsidR="008B75B7" w:rsidRPr="008B75B7" w:rsidRDefault="008B75B7" w:rsidP="008B75B7">
      <w:pPr>
        <w:spacing w:after="0" w:line="240" w:lineRule="auto"/>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Este anexo describe las actividades y requisitos mínimos asociados al servicio de construcción de infraestructura, solicitado por el Beneficiario del Programa Leña Más Seca, convocatoria especial Araucanía. Dependiendo de la magnitud de la obra la agencia podrá prescindir de alguno de estos requisitos, lo cual será debidamente informado al beneficiario.</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b/>
          <w:color w:val="000000"/>
          <w:sz w:val="24"/>
          <w:szCs w:val="24"/>
          <w:lang w:eastAsia="es-CL"/>
        </w:rPr>
      </w:pPr>
      <w:r w:rsidRPr="008B75B7">
        <w:rPr>
          <w:rFonts w:ascii="Calibri" w:eastAsia="Times New Roman" w:hAnsi="Calibri" w:cs="Calibri"/>
          <w:b/>
          <w:color w:val="000000"/>
          <w:sz w:val="24"/>
          <w:szCs w:val="24"/>
          <w:lang w:eastAsia="es-CL"/>
        </w:rPr>
        <w:t>1.</w:t>
      </w:r>
      <w:r w:rsidRPr="008B75B7">
        <w:rPr>
          <w:rFonts w:ascii="Calibri" w:eastAsia="Times New Roman" w:hAnsi="Calibri" w:cs="Calibri"/>
          <w:b/>
          <w:color w:val="000000"/>
          <w:sz w:val="24"/>
          <w:szCs w:val="24"/>
          <w:lang w:eastAsia="es-CL"/>
        </w:rPr>
        <w:tab/>
        <w:t xml:space="preserve">Revisión de antecedentes. </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a)</w:t>
      </w:r>
      <w:r w:rsidRPr="008B75B7">
        <w:rPr>
          <w:rFonts w:ascii="Calibri" w:eastAsia="Times New Roman" w:hAnsi="Calibri" w:cs="Calibri"/>
          <w:color w:val="000000"/>
          <w:sz w:val="24"/>
          <w:szCs w:val="24"/>
          <w:lang w:eastAsia="es-CL"/>
        </w:rPr>
        <w:tab/>
        <w:t xml:space="preserve">El ejecutor de la actividad de construcción deberá revisar el terreno en donde se plantea emplazar la infraestructura, con el objetivo de identificar ubicaciones en las que exista factibilidad de construir, y en cuáles no. Para ello, deberá analizar todos los aspectos técnicos asociados al terreno y al diseño de la obra, necesarios para la correcta instalación y mantención de la infraestructura. En caso que el ejecutor detecte condiciones de terreno no aptas para la construcción, deberá resolver mediante una propuesta de actividades o medidas que otorguen factibilidad al proyecto constructivo. </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b)</w:t>
      </w:r>
      <w:r w:rsidRPr="008B75B7">
        <w:rPr>
          <w:rFonts w:ascii="Calibri" w:eastAsia="Times New Roman" w:hAnsi="Calibri" w:cs="Calibri"/>
          <w:color w:val="000000"/>
          <w:sz w:val="24"/>
          <w:szCs w:val="24"/>
          <w:lang w:eastAsia="es-CL"/>
        </w:rPr>
        <w:tab/>
        <w:t>En caso que el beneficiario ponga a disposición del ejecutor especificaciones técnicas para la construcción de infraestructura, éste deberá proceder a la revisión de tales antecedentes, en relación con lo analizado en terreno.</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c)</w:t>
      </w:r>
      <w:r w:rsidRPr="008B75B7">
        <w:rPr>
          <w:rFonts w:ascii="Calibri" w:eastAsia="Times New Roman" w:hAnsi="Calibri" w:cs="Calibri"/>
          <w:color w:val="000000"/>
          <w:sz w:val="24"/>
          <w:szCs w:val="24"/>
          <w:lang w:eastAsia="es-CL"/>
        </w:rPr>
        <w:tab/>
        <w:t xml:space="preserve">En caso que el beneficiario NO disponga de especificaciones técnicas para la construcción de infraestructura, el ejecutor deberá proponer un proyecto de solución constructiva adecuada para los fines productivos relacionados con el rubro de los biocombustibles sólidos de madera. </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Para la construcción de la infraestructura, el ejecutor deberá regirse en conformidad a:</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w:t>
      </w:r>
      <w:r w:rsidRPr="008B75B7">
        <w:rPr>
          <w:rFonts w:ascii="Calibri" w:eastAsia="Times New Roman" w:hAnsi="Calibri" w:cs="Calibri"/>
          <w:color w:val="000000"/>
          <w:sz w:val="24"/>
          <w:szCs w:val="24"/>
          <w:lang w:eastAsia="es-CL"/>
        </w:rPr>
        <w:tab/>
        <w:t>Ley General de Urbanismo y Construcción.</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ii.</w:t>
      </w:r>
      <w:r w:rsidRPr="008B75B7">
        <w:rPr>
          <w:rFonts w:ascii="Calibri" w:eastAsia="Times New Roman" w:hAnsi="Calibri" w:cs="Calibri"/>
          <w:color w:val="000000"/>
          <w:sz w:val="24"/>
          <w:szCs w:val="24"/>
          <w:lang w:eastAsia="es-CL"/>
        </w:rPr>
        <w:tab/>
        <w:t>Ordenanza General de Urbanismo y Construcción.</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iii.</w:t>
      </w:r>
      <w:r w:rsidRPr="008B75B7">
        <w:rPr>
          <w:rFonts w:ascii="Calibri" w:eastAsia="Times New Roman" w:hAnsi="Calibri" w:cs="Calibri"/>
          <w:color w:val="000000"/>
          <w:sz w:val="24"/>
          <w:szCs w:val="24"/>
          <w:lang w:eastAsia="es-CL"/>
        </w:rPr>
        <w:tab/>
        <w:t>Ordenanza Especiales y locales.</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iv.</w:t>
      </w:r>
      <w:r w:rsidRPr="008B75B7">
        <w:rPr>
          <w:rFonts w:ascii="Calibri" w:eastAsia="Times New Roman" w:hAnsi="Calibri" w:cs="Calibri"/>
          <w:color w:val="000000"/>
          <w:sz w:val="24"/>
          <w:szCs w:val="24"/>
          <w:lang w:eastAsia="es-CL"/>
        </w:rPr>
        <w:tab/>
        <w:t>Normativa vigente para el cálculo de cargas de uso, peso propio, viento, sismo y nieve.</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b/>
          <w:color w:val="000000"/>
          <w:sz w:val="24"/>
          <w:szCs w:val="24"/>
          <w:lang w:eastAsia="es-CL"/>
        </w:rPr>
      </w:pPr>
      <w:r w:rsidRPr="008B75B7">
        <w:rPr>
          <w:rFonts w:ascii="Calibri" w:eastAsia="Times New Roman" w:hAnsi="Calibri" w:cs="Calibri"/>
          <w:b/>
          <w:color w:val="000000"/>
          <w:sz w:val="24"/>
          <w:szCs w:val="24"/>
          <w:lang w:eastAsia="es-CL"/>
        </w:rPr>
        <w:t>2.</w:t>
      </w:r>
      <w:r w:rsidRPr="008B75B7">
        <w:rPr>
          <w:rFonts w:ascii="Calibri" w:eastAsia="Times New Roman" w:hAnsi="Calibri" w:cs="Calibri"/>
          <w:b/>
          <w:color w:val="000000"/>
          <w:sz w:val="24"/>
          <w:szCs w:val="24"/>
          <w:lang w:eastAsia="es-CL"/>
        </w:rPr>
        <w:tab/>
        <w:t>Memoria de cálculo.</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a)</w:t>
      </w:r>
      <w:r w:rsidRPr="008B75B7">
        <w:rPr>
          <w:rFonts w:ascii="Calibri" w:eastAsia="Times New Roman" w:hAnsi="Calibri" w:cs="Calibri"/>
          <w:color w:val="000000"/>
          <w:sz w:val="24"/>
          <w:szCs w:val="24"/>
          <w:lang w:eastAsia="es-CL"/>
        </w:rPr>
        <w:tab/>
        <w:t>Los cálculos estructurales, deberán cumplir con todas las disposiciones contenidas en las normas y ordenanzas vigentes, considerándolas como mínimas; deberá incluirse en la forma más detallada y completa, descripción de los materiales, tipo de solicitaciones y combinaciones consideradas en el diseño, modelo sísmico y resultado del análisis.</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La memoria de cálculo debe incluir lo siguiente:</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w:t>
      </w:r>
      <w:r w:rsidRPr="008B75B7">
        <w:rPr>
          <w:rFonts w:ascii="Calibri" w:eastAsia="Times New Roman" w:hAnsi="Calibri" w:cs="Calibri"/>
          <w:color w:val="000000"/>
          <w:sz w:val="24"/>
          <w:szCs w:val="24"/>
          <w:lang w:eastAsia="es-CL"/>
        </w:rPr>
        <w:tab/>
        <w:t>Bases del diseño</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ii.</w:t>
      </w:r>
      <w:r w:rsidRPr="008B75B7">
        <w:rPr>
          <w:rFonts w:ascii="Calibri" w:eastAsia="Times New Roman" w:hAnsi="Calibri" w:cs="Calibri"/>
          <w:color w:val="000000"/>
          <w:sz w:val="24"/>
          <w:szCs w:val="24"/>
          <w:lang w:eastAsia="es-CL"/>
        </w:rPr>
        <w:tab/>
        <w:t>Esquemas de ubicación e identificación de los elementos estructurales.</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iii.</w:t>
      </w:r>
      <w:r w:rsidRPr="008B75B7">
        <w:rPr>
          <w:rFonts w:ascii="Calibri" w:eastAsia="Times New Roman" w:hAnsi="Calibri" w:cs="Calibri"/>
          <w:color w:val="000000"/>
          <w:sz w:val="24"/>
          <w:szCs w:val="24"/>
          <w:lang w:eastAsia="es-CL"/>
        </w:rPr>
        <w:tab/>
        <w:t>Análisis y diseño de cargas verticales.</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iv.</w:t>
      </w:r>
      <w:r w:rsidRPr="008B75B7">
        <w:rPr>
          <w:rFonts w:ascii="Calibri" w:eastAsia="Times New Roman" w:hAnsi="Calibri" w:cs="Calibri"/>
          <w:color w:val="000000"/>
          <w:sz w:val="24"/>
          <w:szCs w:val="24"/>
          <w:lang w:eastAsia="es-CL"/>
        </w:rPr>
        <w:tab/>
        <w:t xml:space="preserve">Análisis y diseño para cargas laterales, incluyendo pesos sísmicos, corte basal, momentos </w:t>
      </w:r>
      <w:proofErr w:type="spellStart"/>
      <w:r w:rsidRPr="008B75B7">
        <w:rPr>
          <w:rFonts w:ascii="Calibri" w:eastAsia="Times New Roman" w:hAnsi="Calibri" w:cs="Calibri"/>
          <w:color w:val="000000"/>
          <w:sz w:val="24"/>
          <w:szCs w:val="24"/>
          <w:lang w:eastAsia="es-CL"/>
        </w:rPr>
        <w:t>volcante</w:t>
      </w:r>
      <w:proofErr w:type="spellEnd"/>
      <w:r w:rsidRPr="008B75B7">
        <w:rPr>
          <w:rFonts w:ascii="Calibri" w:eastAsia="Times New Roman" w:hAnsi="Calibri" w:cs="Calibri"/>
          <w:color w:val="000000"/>
          <w:sz w:val="24"/>
          <w:szCs w:val="24"/>
          <w:lang w:eastAsia="es-CL"/>
        </w:rPr>
        <w:t>, periodos y sus masas equivalentes, verificación de desplazamientos máximos normativos y distancias mínimas a los planos medianeros.</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lastRenderedPageBreak/>
        <w:t>v.</w:t>
      </w:r>
      <w:r w:rsidRPr="008B75B7">
        <w:rPr>
          <w:rFonts w:ascii="Calibri" w:eastAsia="Times New Roman" w:hAnsi="Calibri" w:cs="Calibri"/>
          <w:color w:val="000000"/>
          <w:sz w:val="24"/>
          <w:szCs w:val="24"/>
          <w:lang w:eastAsia="es-CL"/>
        </w:rPr>
        <w:tab/>
        <w:t>Análisis y diseño de fundaciones.</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vi.</w:t>
      </w:r>
      <w:r w:rsidRPr="008B75B7">
        <w:rPr>
          <w:rFonts w:ascii="Calibri" w:eastAsia="Times New Roman" w:hAnsi="Calibri" w:cs="Calibri"/>
          <w:color w:val="000000"/>
          <w:sz w:val="24"/>
          <w:szCs w:val="24"/>
          <w:lang w:eastAsia="es-CL"/>
        </w:rPr>
        <w:tab/>
        <w:t xml:space="preserve">Análisis de vibraciones y de </w:t>
      </w:r>
      <w:proofErr w:type="spellStart"/>
      <w:r w:rsidRPr="008B75B7">
        <w:rPr>
          <w:rFonts w:ascii="Calibri" w:eastAsia="Times New Roman" w:hAnsi="Calibri" w:cs="Calibri"/>
          <w:color w:val="000000"/>
          <w:sz w:val="24"/>
          <w:szCs w:val="24"/>
          <w:lang w:eastAsia="es-CL"/>
        </w:rPr>
        <w:t>serviciabilidad</w:t>
      </w:r>
      <w:proofErr w:type="spellEnd"/>
      <w:r w:rsidRPr="008B75B7">
        <w:rPr>
          <w:rFonts w:ascii="Calibri" w:eastAsia="Times New Roman" w:hAnsi="Calibri" w:cs="Calibri"/>
          <w:color w:val="000000"/>
          <w:sz w:val="24"/>
          <w:szCs w:val="24"/>
          <w:lang w:eastAsia="es-CL"/>
        </w:rPr>
        <w:t xml:space="preserve">, cuando sea aplicable. </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b/>
          <w:color w:val="000000"/>
          <w:sz w:val="24"/>
          <w:szCs w:val="24"/>
          <w:lang w:eastAsia="es-CL"/>
        </w:rPr>
      </w:pPr>
      <w:r w:rsidRPr="008B75B7">
        <w:rPr>
          <w:rFonts w:ascii="Calibri" w:eastAsia="Times New Roman" w:hAnsi="Calibri" w:cs="Calibri"/>
          <w:b/>
          <w:color w:val="000000"/>
          <w:sz w:val="24"/>
          <w:szCs w:val="24"/>
          <w:lang w:eastAsia="es-CL"/>
        </w:rPr>
        <w:t>3.</w:t>
      </w:r>
      <w:r w:rsidRPr="008B75B7">
        <w:rPr>
          <w:rFonts w:ascii="Calibri" w:eastAsia="Times New Roman" w:hAnsi="Calibri" w:cs="Calibri"/>
          <w:b/>
          <w:color w:val="000000"/>
          <w:sz w:val="24"/>
          <w:szCs w:val="24"/>
          <w:lang w:eastAsia="es-CL"/>
        </w:rPr>
        <w:tab/>
        <w:t>Planos estructurales.</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a)</w:t>
      </w:r>
      <w:r w:rsidRPr="008B75B7">
        <w:rPr>
          <w:rFonts w:ascii="Calibri" w:eastAsia="Times New Roman" w:hAnsi="Calibri" w:cs="Calibri"/>
          <w:color w:val="000000"/>
          <w:sz w:val="24"/>
          <w:szCs w:val="24"/>
          <w:lang w:eastAsia="es-CL"/>
        </w:rPr>
        <w:tab/>
        <w:t>Los planos deben mostrar la ubicación y denominación de los elementos estructurales, sus dimensiones, sus refuerzos y sus conexiones a una escala y nivel de detalle que permita la construcción, en una secuencia razonable.</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b)</w:t>
      </w:r>
      <w:r w:rsidRPr="008B75B7">
        <w:rPr>
          <w:rFonts w:ascii="Calibri" w:eastAsia="Times New Roman" w:hAnsi="Calibri" w:cs="Calibri"/>
          <w:color w:val="000000"/>
          <w:sz w:val="24"/>
          <w:szCs w:val="24"/>
          <w:lang w:eastAsia="es-CL"/>
        </w:rPr>
        <w:tab/>
        <w:t xml:space="preserve">Las plantas, elevaciones, cortes y detalles, deberán ejecutarse en una escala, cantidad y extensiones adecuadas para representar claramente la relación entre el elemento y sus interconexiones. </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c)</w:t>
      </w:r>
      <w:r w:rsidRPr="008B75B7">
        <w:rPr>
          <w:rFonts w:ascii="Calibri" w:eastAsia="Times New Roman" w:hAnsi="Calibri" w:cs="Calibri"/>
          <w:color w:val="000000"/>
          <w:sz w:val="24"/>
          <w:szCs w:val="24"/>
          <w:lang w:eastAsia="es-CL"/>
        </w:rPr>
        <w:tab/>
        <w:t>Los planos estructurales del proyecto deben incluir como mínimo lo siguiente:</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w:t>
      </w:r>
      <w:r w:rsidRPr="008B75B7">
        <w:rPr>
          <w:rFonts w:ascii="Calibri" w:eastAsia="Times New Roman" w:hAnsi="Calibri" w:cs="Calibri"/>
          <w:color w:val="000000"/>
          <w:sz w:val="24"/>
          <w:szCs w:val="24"/>
          <w:lang w:eastAsia="es-CL"/>
        </w:rPr>
        <w:tab/>
        <w:t>Planta de fundaciones, secciones y detalles</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ii.</w:t>
      </w:r>
      <w:r w:rsidRPr="008B75B7">
        <w:rPr>
          <w:rFonts w:ascii="Calibri" w:eastAsia="Times New Roman" w:hAnsi="Calibri" w:cs="Calibri"/>
          <w:color w:val="000000"/>
          <w:sz w:val="24"/>
          <w:szCs w:val="24"/>
          <w:lang w:eastAsia="es-CL"/>
        </w:rPr>
        <w:tab/>
        <w:t>Planta de estructura, secciones y detalles.</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iii.</w:t>
      </w:r>
      <w:r w:rsidRPr="008B75B7">
        <w:rPr>
          <w:rFonts w:ascii="Calibri" w:eastAsia="Times New Roman" w:hAnsi="Calibri" w:cs="Calibri"/>
          <w:color w:val="000000"/>
          <w:sz w:val="24"/>
          <w:szCs w:val="24"/>
          <w:lang w:eastAsia="es-CL"/>
        </w:rPr>
        <w:tab/>
        <w:t>Elevaciones de todos los ejes estructurales, secciones y detalles.</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iv.</w:t>
      </w:r>
      <w:r w:rsidRPr="008B75B7">
        <w:rPr>
          <w:rFonts w:ascii="Calibri" w:eastAsia="Times New Roman" w:hAnsi="Calibri" w:cs="Calibri"/>
          <w:color w:val="000000"/>
          <w:sz w:val="24"/>
          <w:szCs w:val="24"/>
          <w:lang w:eastAsia="es-CL"/>
        </w:rPr>
        <w:tab/>
        <w:t>Detalle de portones.</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v.</w:t>
      </w:r>
      <w:r w:rsidRPr="008B75B7">
        <w:rPr>
          <w:rFonts w:ascii="Calibri" w:eastAsia="Times New Roman" w:hAnsi="Calibri" w:cs="Calibri"/>
          <w:color w:val="000000"/>
          <w:sz w:val="24"/>
          <w:szCs w:val="24"/>
          <w:lang w:eastAsia="es-CL"/>
        </w:rPr>
        <w:tab/>
        <w:t>Planta de techumbre, secciones y detalles.</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vi.</w:t>
      </w:r>
      <w:r w:rsidRPr="008B75B7">
        <w:rPr>
          <w:rFonts w:ascii="Calibri" w:eastAsia="Times New Roman" w:hAnsi="Calibri" w:cs="Calibri"/>
          <w:color w:val="000000"/>
          <w:sz w:val="24"/>
          <w:szCs w:val="24"/>
          <w:lang w:eastAsia="es-CL"/>
        </w:rPr>
        <w:tab/>
        <w:t>Recomendaciones constructivas.</w:t>
      </w:r>
    </w:p>
    <w:p w:rsidR="008B75B7" w:rsidRPr="008B75B7" w:rsidRDefault="008B75B7" w:rsidP="008B75B7">
      <w:pPr>
        <w:spacing w:after="0" w:line="240" w:lineRule="auto"/>
        <w:ind w:left="708"/>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vii.</w:t>
      </w:r>
      <w:r w:rsidRPr="008B75B7">
        <w:rPr>
          <w:rFonts w:ascii="Calibri" w:eastAsia="Times New Roman" w:hAnsi="Calibri" w:cs="Calibri"/>
          <w:color w:val="000000"/>
          <w:sz w:val="24"/>
          <w:szCs w:val="24"/>
          <w:lang w:eastAsia="es-CL"/>
        </w:rPr>
        <w:tab/>
        <w:t xml:space="preserve">Otros detalles. </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El ejecutor deberá proporcionar al beneficiario una carpeta impresa que incluya la planimetría completa de la infraestructura construida, así como también un registro digital con la misma documentación.</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b/>
          <w:color w:val="000000"/>
          <w:sz w:val="24"/>
          <w:szCs w:val="24"/>
          <w:lang w:eastAsia="es-CL"/>
        </w:rPr>
      </w:pPr>
      <w:r w:rsidRPr="008B75B7">
        <w:rPr>
          <w:rFonts w:ascii="Calibri" w:eastAsia="Times New Roman" w:hAnsi="Calibri" w:cs="Calibri"/>
          <w:b/>
          <w:color w:val="000000"/>
          <w:sz w:val="24"/>
          <w:szCs w:val="24"/>
          <w:lang w:eastAsia="es-CL"/>
        </w:rPr>
        <w:t>4.</w:t>
      </w:r>
      <w:r w:rsidRPr="008B75B7">
        <w:rPr>
          <w:rFonts w:ascii="Calibri" w:eastAsia="Times New Roman" w:hAnsi="Calibri" w:cs="Calibri"/>
          <w:b/>
          <w:color w:val="000000"/>
          <w:sz w:val="24"/>
          <w:szCs w:val="24"/>
          <w:lang w:eastAsia="es-CL"/>
        </w:rPr>
        <w:tab/>
        <w:t>Especificaciones estructurales y materiales.</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 xml:space="preserve">Las especificaciones deben incluir requerimientos del proyecto para todos los elementos estructurales, materiales, su fabricación, colocación, tolerancias y controles de calidad. </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Deberán emplearse materiales de primera calidad, debiendo respetarse estrictamente las instrucciones de los fabricantes. Por otra parte, el ejecutor deberá ceñirse estrictamente a las presentes especificaciones técnicas citadas en numeral 1.</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Las especificaciones estructurales más relevantes deben abreviarse e incluirse en los planos respectivos.</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b/>
          <w:color w:val="000000"/>
          <w:sz w:val="24"/>
          <w:szCs w:val="24"/>
          <w:lang w:eastAsia="es-CL"/>
        </w:rPr>
      </w:pPr>
      <w:r w:rsidRPr="008B75B7">
        <w:rPr>
          <w:rFonts w:ascii="Calibri" w:eastAsia="Times New Roman" w:hAnsi="Calibri" w:cs="Calibri"/>
          <w:b/>
          <w:color w:val="000000"/>
          <w:sz w:val="24"/>
          <w:szCs w:val="24"/>
          <w:lang w:eastAsia="es-CL"/>
        </w:rPr>
        <w:t>5.</w:t>
      </w:r>
      <w:r w:rsidRPr="008B75B7">
        <w:rPr>
          <w:rFonts w:ascii="Calibri" w:eastAsia="Times New Roman" w:hAnsi="Calibri" w:cs="Calibri"/>
          <w:b/>
          <w:color w:val="000000"/>
          <w:sz w:val="24"/>
          <w:szCs w:val="24"/>
          <w:lang w:eastAsia="es-CL"/>
        </w:rPr>
        <w:tab/>
        <w:t>Trámites.</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El ejecutor deberá tramitar permiso de edificación, recepción definitiva y pagos de derechos municipales. Una vez validados por el Beneficiario los antecedentes descritos en puntos 2, 3 y 4, el ejecutor de la actividad deberá firmar los antecedentes técnicos de todos los proyectos (memoria de cálculo, especificaciones técnicas y planos) y presentarlos al municipio correspondiente.</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Será responsabilidad del ejecutor la tramitación del certificado de recepción definitiva gestionado en la Dirección de Obras Municipales que corresponda.</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b/>
          <w:color w:val="000000"/>
          <w:sz w:val="24"/>
          <w:szCs w:val="24"/>
          <w:lang w:eastAsia="es-CL"/>
        </w:rPr>
      </w:pPr>
      <w:r w:rsidRPr="008B75B7">
        <w:rPr>
          <w:rFonts w:ascii="Calibri" w:eastAsia="Times New Roman" w:hAnsi="Calibri" w:cs="Calibri"/>
          <w:b/>
          <w:color w:val="000000"/>
          <w:sz w:val="24"/>
          <w:szCs w:val="24"/>
          <w:lang w:eastAsia="es-CL"/>
        </w:rPr>
        <w:t>6.</w:t>
      </w:r>
      <w:r w:rsidRPr="008B75B7">
        <w:rPr>
          <w:rFonts w:ascii="Calibri" w:eastAsia="Times New Roman" w:hAnsi="Calibri" w:cs="Calibri"/>
          <w:b/>
          <w:color w:val="000000"/>
          <w:sz w:val="24"/>
          <w:szCs w:val="24"/>
          <w:lang w:eastAsia="es-CL"/>
        </w:rPr>
        <w:tab/>
        <w:t>Ejecución de Obras.</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La obra debe ejecutarse sólo en aquellas ubicaciones en que sea factible construir, de acuerdo con lo analizado en la etapa anterior.</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lastRenderedPageBreak/>
        <w:t>El ejecutor deberá disponer de las construcciones e instalaciones provisorias necesarias para el correcto desarrollo de las faenas. Las instalaciones se adaptarán a las situaciones del lugar, debiendo asegurar las comodidades e higiene del personal, seguridad de la obra y seguridad de terceros. Además, se deberá garantizar la conservación de la totalidad de los materiales en perfectas condiciones.</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b/>
          <w:color w:val="000000"/>
          <w:sz w:val="24"/>
          <w:szCs w:val="24"/>
          <w:lang w:eastAsia="es-CL"/>
        </w:rPr>
      </w:pPr>
      <w:r w:rsidRPr="008B75B7">
        <w:rPr>
          <w:rFonts w:ascii="Calibri" w:eastAsia="Times New Roman" w:hAnsi="Calibri" w:cs="Calibri"/>
          <w:b/>
          <w:color w:val="000000"/>
          <w:sz w:val="24"/>
          <w:szCs w:val="24"/>
          <w:lang w:eastAsia="es-CL"/>
        </w:rPr>
        <w:t xml:space="preserve">7. </w:t>
      </w:r>
      <w:r w:rsidRPr="008B75B7">
        <w:rPr>
          <w:rFonts w:ascii="Calibri" w:eastAsia="Times New Roman" w:hAnsi="Calibri" w:cs="Calibri"/>
          <w:b/>
          <w:color w:val="000000"/>
          <w:sz w:val="24"/>
          <w:szCs w:val="24"/>
          <w:lang w:eastAsia="es-CL"/>
        </w:rPr>
        <w:tab/>
        <w:t>Garantía post entrega.</w:t>
      </w:r>
      <w:r w:rsidRPr="008B75B7">
        <w:rPr>
          <w:rFonts w:ascii="Calibri" w:eastAsia="Times New Roman" w:hAnsi="Calibri" w:cs="Calibri"/>
          <w:b/>
          <w:color w:val="000000"/>
          <w:sz w:val="24"/>
          <w:szCs w:val="24"/>
          <w:lang w:eastAsia="es-CL"/>
        </w:rPr>
        <w:tab/>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 xml:space="preserve">El Ejecutor deberá </w:t>
      </w:r>
      <w:proofErr w:type="spellStart"/>
      <w:r w:rsidRPr="008B75B7">
        <w:rPr>
          <w:rFonts w:ascii="Calibri" w:eastAsia="Times New Roman" w:hAnsi="Calibri" w:cs="Calibri"/>
          <w:color w:val="000000"/>
          <w:sz w:val="24"/>
          <w:szCs w:val="24"/>
          <w:lang w:eastAsia="es-CL"/>
        </w:rPr>
        <w:t>recepcionar</w:t>
      </w:r>
      <w:proofErr w:type="spellEnd"/>
      <w:r w:rsidRPr="008B75B7">
        <w:rPr>
          <w:rFonts w:ascii="Calibri" w:eastAsia="Times New Roman" w:hAnsi="Calibri" w:cs="Calibri"/>
          <w:color w:val="000000"/>
          <w:sz w:val="24"/>
          <w:szCs w:val="24"/>
          <w:lang w:eastAsia="es-CL"/>
        </w:rPr>
        <w:t xml:space="preserve"> y solucionar reclamos post entrega de la infraestructura, vinculados a circunstancias tales como: falla en cubiertas y revestimientos, problemas estructurales por pandeo de cerchas, tabiquería con deformaciones, entre otros.</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b/>
          <w:color w:val="000000"/>
          <w:sz w:val="24"/>
          <w:szCs w:val="24"/>
          <w:lang w:eastAsia="es-CL"/>
        </w:rPr>
      </w:pPr>
      <w:r w:rsidRPr="008B75B7">
        <w:rPr>
          <w:rFonts w:ascii="Calibri" w:eastAsia="Times New Roman" w:hAnsi="Calibri" w:cs="Calibri"/>
          <w:b/>
          <w:color w:val="000000"/>
          <w:sz w:val="24"/>
          <w:szCs w:val="24"/>
          <w:lang w:eastAsia="es-CL"/>
        </w:rPr>
        <w:t>8.</w:t>
      </w:r>
      <w:r w:rsidRPr="008B75B7">
        <w:rPr>
          <w:rFonts w:ascii="Calibri" w:eastAsia="Times New Roman" w:hAnsi="Calibri" w:cs="Calibri"/>
          <w:b/>
          <w:color w:val="000000"/>
          <w:sz w:val="24"/>
          <w:szCs w:val="24"/>
          <w:lang w:eastAsia="es-CL"/>
        </w:rPr>
        <w:tab/>
        <w:t>Obligatoriedad de suscripción de contrato.</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 xml:space="preserve">Previo a la ejecución del servicio de construcción, Beneficiario y Ejecutor de la actividad, procederán a la firma de un contrato de prestación de servicios en el que se establecerán las condiciones y obligaciones de las partes. </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El ejecutor de actividad seleccionado que firma, declara conocer, aceptar y se obliga a cumplir lo establecido en el presente anexo.</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Firma:     _______________________________</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Nombre: _______________________________</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Empresa: _______________________________</w:t>
      </w: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p>
    <w:p w:rsidR="008B75B7" w:rsidRPr="008B75B7" w:rsidRDefault="008B75B7" w:rsidP="008B75B7">
      <w:pPr>
        <w:spacing w:after="0" w:line="240" w:lineRule="auto"/>
        <w:jc w:val="both"/>
        <w:rPr>
          <w:rFonts w:ascii="Calibri" w:eastAsia="Times New Roman" w:hAnsi="Calibri" w:cs="Calibri"/>
          <w:color w:val="000000"/>
          <w:sz w:val="24"/>
          <w:szCs w:val="24"/>
          <w:lang w:eastAsia="es-CL"/>
        </w:rPr>
      </w:pPr>
      <w:r w:rsidRPr="008B75B7">
        <w:rPr>
          <w:rFonts w:ascii="Calibri" w:eastAsia="Times New Roman" w:hAnsi="Calibri" w:cs="Calibri"/>
          <w:color w:val="000000"/>
          <w:sz w:val="24"/>
          <w:szCs w:val="24"/>
          <w:lang w:eastAsia="es-CL"/>
        </w:rPr>
        <w:t>Fecha: _________________________________</w:t>
      </w:r>
    </w:p>
    <w:p w:rsidR="008B75B7" w:rsidRPr="008B75B7" w:rsidRDefault="008B75B7" w:rsidP="008B75B7">
      <w:pPr>
        <w:spacing w:after="0" w:line="240" w:lineRule="auto"/>
        <w:rPr>
          <w:rFonts w:ascii="Calibri" w:eastAsia="Times New Roman" w:hAnsi="Calibri" w:cs="Calibri"/>
          <w:color w:val="000000"/>
          <w:sz w:val="24"/>
          <w:szCs w:val="24"/>
          <w:lang w:eastAsia="es-CL"/>
        </w:rPr>
      </w:pPr>
    </w:p>
    <w:p w:rsidR="008B75B7" w:rsidRPr="008B75B7" w:rsidRDefault="008B75B7" w:rsidP="008B75B7">
      <w:pPr>
        <w:spacing w:after="0" w:line="240" w:lineRule="auto"/>
        <w:rPr>
          <w:rFonts w:ascii="Calibri" w:eastAsia="Times New Roman" w:hAnsi="Calibri" w:cs="Calibri"/>
          <w:color w:val="000000"/>
          <w:sz w:val="24"/>
          <w:szCs w:val="24"/>
          <w:lang w:eastAsia="es-CL"/>
        </w:rPr>
      </w:pPr>
    </w:p>
    <w:p w:rsidR="008B75B7" w:rsidRPr="008B75B7" w:rsidRDefault="008B75B7" w:rsidP="008B75B7">
      <w:pPr>
        <w:spacing w:after="0" w:line="240" w:lineRule="auto"/>
        <w:rPr>
          <w:rFonts w:ascii="Calibri" w:eastAsia="Times New Roman" w:hAnsi="Calibri" w:cs="Calibri"/>
          <w:color w:val="000000"/>
          <w:sz w:val="24"/>
          <w:szCs w:val="24"/>
          <w:lang w:eastAsia="es-CL"/>
        </w:rPr>
      </w:pPr>
    </w:p>
    <w:p w:rsidR="008B75B7" w:rsidRPr="008B75B7" w:rsidRDefault="008B75B7" w:rsidP="008B75B7">
      <w:pPr>
        <w:spacing w:after="0" w:line="240" w:lineRule="auto"/>
        <w:rPr>
          <w:rFonts w:ascii="Calibri" w:eastAsia="Times New Roman" w:hAnsi="Calibri" w:cs="Calibri"/>
          <w:color w:val="000000"/>
          <w:sz w:val="24"/>
          <w:szCs w:val="24"/>
          <w:lang w:eastAsia="es-CL"/>
        </w:rPr>
      </w:pPr>
    </w:p>
    <w:p w:rsidR="008B75B7" w:rsidRPr="008B75B7" w:rsidRDefault="008B75B7" w:rsidP="008B75B7">
      <w:pPr>
        <w:spacing w:after="0" w:line="240" w:lineRule="auto"/>
        <w:rPr>
          <w:rFonts w:ascii="Calibri" w:eastAsia="Times New Roman" w:hAnsi="Calibri" w:cs="Calibri"/>
          <w:color w:val="000000"/>
          <w:sz w:val="24"/>
          <w:szCs w:val="24"/>
          <w:lang w:eastAsia="es-CL"/>
        </w:rPr>
      </w:pPr>
    </w:p>
    <w:p w:rsidR="008B75B7" w:rsidRPr="008B75B7" w:rsidRDefault="008B75B7" w:rsidP="008B75B7">
      <w:pPr>
        <w:spacing w:after="0" w:line="240" w:lineRule="auto"/>
        <w:rPr>
          <w:rFonts w:ascii="Calibri" w:eastAsia="Times New Roman" w:hAnsi="Calibri" w:cs="Calibri"/>
          <w:color w:val="000000"/>
          <w:sz w:val="24"/>
          <w:szCs w:val="24"/>
          <w:lang w:eastAsia="es-CL"/>
        </w:rPr>
      </w:pPr>
    </w:p>
    <w:p w:rsidR="008B75B7" w:rsidRPr="008B75B7" w:rsidRDefault="008B75B7" w:rsidP="008B75B7">
      <w:pPr>
        <w:spacing w:after="0" w:line="240" w:lineRule="auto"/>
        <w:rPr>
          <w:rFonts w:ascii="Calibri" w:eastAsia="Times New Roman" w:hAnsi="Calibri" w:cs="Calibri"/>
          <w:color w:val="000000"/>
          <w:sz w:val="24"/>
          <w:szCs w:val="24"/>
          <w:lang w:eastAsia="es-CL"/>
        </w:rPr>
      </w:pPr>
    </w:p>
    <w:p w:rsidR="008B75B7" w:rsidRPr="008B75B7" w:rsidRDefault="008B75B7" w:rsidP="008B75B7">
      <w:pPr>
        <w:spacing w:after="0" w:line="240" w:lineRule="auto"/>
        <w:rPr>
          <w:rFonts w:ascii="Calibri" w:eastAsia="Times New Roman" w:hAnsi="Calibri" w:cs="Calibri"/>
          <w:color w:val="000000"/>
          <w:sz w:val="24"/>
          <w:szCs w:val="24"/>
          <w:lang w:eastAsia="es-CL"/>
        </w:rPr>
      </w:pPr>
    </w:p>
    <w:p w:rsidR="000770BD" w:rsidRDefault="000770BD"/>
    <w:sectPr w:rsidR="000770B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5B7"/>
    <w:rsid w:val="000770BD"/>
    <w:rsid w:val="007D67C5"/>
    <w:rsid w:val="008015A1"/>
    <w:rsid w:val="008B75B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A49CF"/>
  <w15:chartTrackingRefBased/>
  <w15:docId w15:val="{4B538ABA-BB4A-4109-820F-79664D2C6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5407</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Jaime López G.</dc:creator>
  <cp:keywords/>
  <dc:description/>
  <cp:lastModifiedBy>Jaime López G.</cp:lastModifiedBy>
  <cp:revision>1</cp:revision>
  <dcterms:created xsi:type="dcterms:W3CDTF">2020-11-11T16:03:00Z</dcterms:created>
  <dcterms:modified xsi:type="dcterms:W3CDTF">2020-11-11T16:03:00Z</dcterms:modified>
</cp:coreProperties>
</file>